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C04E5">
      <w:pPr>
        <w:pStyle w:val="Fuentedeprrafopredeter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40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511">
        <w:rPr>
          <w:rFonts w:ascii="Helvetica" w:hAnsi="Helvetica" w:cs="Helvetica"/>
          <w:b/>
          <w:bCs/>
          <w:color w:val="FFFFFF"/>
          <w:sz w:val="40"/>
          <w:szCs w:val="40"/>
        </w:rPr>
        <w:t xml:space="preserve">Sulfodin </w:t>
      </w:r>
      <w:r w:rsidR="009A3511">
        <w:rPr>
          <w:rFonts w:ascii="Arial" w:hAnsi="Arial" w:cs="Arial"/>
          <w:b/>
          <w:bCs/>
          <w:color w:val="FFFFFF"/>
          <w:sz w:val="40"/>
          <w:szCs w:val="40"/>
          <w:vertAlign w:val="superscript"/>
        </w:rPr>
        <w:t>®</w:t>
      </w:r>
      <w:r w:rsidR="009A3511">
        <w:rPr>
          <w:rFonts w:ascii="Helvetica" w:hAnsi="Helvetica" w:cs="Helvetica"/>
          <w:b/>
          <w:bCs/>
          <w:color w:val="FFFFFF"/>
          <w:sz w:val="40"/>
          <w:szCs w:val="40"/>
        </w:rPr>
        <w:t xml:space="preserve"> 80% </w:t>
      </w:r>
      <w:r w:rsidR="009A3511">
        <w:rPr>
          <w:rFonts w:ascii="Helvetica" w:hAnsi="Helvetica" w:cs="Helvetica"/>
          <w:b/>
          <w:bCs/>
          <w:color w:val="FFFFFF"/>
          <w:sz w:val="36"/>
          <w:szCs w:val="36"/>
        </w:rPr>
        <w:t>WG</w:t>
      </w:r>
    </w:p>
    <w:p w:rsidR="00000000" w:rsidRDefault="009A3511">
      <w:pPr>
        <w:pStyle w:val="Fuentedeprrafopredeter"/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FFFFFF"/>
          <w:sz w:val="20"/>
          <w:szCs w:val="20"/>
        </w:rPr>
        <w:t>Azufre</w:t>
      </w:r>
    </w:p>
    <w:p w:rsidR="00000000" w:rsidRDefault="009A3511">
      <w:pPr>
        <w:pStyle w:val="Fuentedeprrafopredeter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A3511">
      <w:pPr>
        <w:pStyle w:val="Fuentedeprrafopredeter"/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A3511">
      <w:pPr>
        <w:pStyle w:val="Fuentedeprrafopredeter"/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18"/>
          <w:szCs w:val="18"/>
        </w:rPr>
        <w:t>Formulación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Helvetica" w:hAnsi="Helvetica" w:cs="Helvetica"/>
          <w:b/>
          <w:bCs/>
          <w:sz w:val="18"/>
          <w:szCs w:val="18"/>
        </w:rPr>
        <w:t xml:space="preserve">: </w:t>
      </w:r>
      <w:r>
        <w:rPr>
          <w:rFonts w:ascii="Helvetica" w:hAnsi="Helvetica" w:cs="Helvetica"/>
          <w:sz w:val="18"/>
          <w:szCs w:val="18"/>
        </w:rPr>
        <w:t>Gránulos dispersables en agua.</w:t>
      </w:r>
    </w:p>
    <w:p w:rsidR="00000000" w:rsidRDefault="009A3511">
      <w:pPr>
        <w:pStyle w:val="Fuentedeprrafopredeter"/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A3511">
      <w:pPr>
        <w:pStyle w:val="Fuentedeprrafopredeter"/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18"/>
          <w:szCs w:val="18"/>
        </w:rPr>
        <w:t>Modo de Acción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Helvetica" w:hAnsi="Helvetica" w:cs="Helvetica"/>
          <w:b/>
          <w:bCs/>
          <w:sz w:val="18"/>
          <w:szCs w:val="18"/>
        </w:rPr>
        <w:t xml:space="preserve">: </w:t>
      </w:r>
      <w:r>
        <w:rPr>
          <w:rFonts w:ascii="Helvetica" w:hAnsi="Helvetica" w:cs="Helvetica"/>
          <w:sz w:val="18"/>
          <w:szCs w:val="18"/>
        </w:rPr>
        <w:t>Fungicida Acaricida inorgánico.</w:t>
      </w:r>
    </w:p>
    <w:p w:rsidR="00000000" w:rsidRDefault="009A3511">
      <w:pPr>
        <w:pStyle w:val="Fuentedeprrafopredeter"/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A3511">
      <w:pPr>
        <w:pStyle w:val="Fuentedeprrafopredeter"/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18"/>
          <w:szCs w:val="18"/>
        </w:rPr>
        <w:t>Mecanismo de Acción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Helvetica" w:hAnsi="Helvetica" w:cs="Helvetica"/>
          <w:b/>
          <w:bCs/>
          <w:sz w:val="17"/>
          <w:szCs w:val="17"/>
        </w:rPr>
        <w:t xml:space="preserve">: </w:t>
      </w:r>
      <w:r>
        <w:rPr>
          <w:rFonts w:ascii="Helvetica" w:hAnsi="Helvetica" w:cs="Helvetica"/>
          <w:sz w:val="17"/>
          <w:szCs w:val="17"/>
        </w:rPr>
        <w:t>Produce el ácido pentationico mediante el proceso de oxidación, que</w:t>
      </w:r>
    </w:p>
    <w:p w:rsidR="00000000" w:rsidRDefault="009A3511">
      <w:pPr>
        <w:pStyle w:val="Fuentedeprrafopredeter"/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A3511">
      <w:pPr>
        <w:pStyle w:val="Fuentedeprrafopredeter"/>
        <w:widowControl w:val="0"/>
        <w:autoSpaceDE w:val="0"/>
        <w:autoSpaceDN w:val="0"/>
        <w:adjustRightInd w:val="0"/>
        <w:spacing w:after="0" w:line="239" w:lineRule="auto"/>
        <w:ind w:left="298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18"/>
          <w:szCs w:val="18"/>
        </w:rPr>
        <w:t>tiene efecto tóxico sobre los hongos y ácaros.</w:t>
      </w:r>
    </w:p>
    <w:p w:rsidR="00000000" w:rsidRDefault="009A3511">
      <w:pPr>
        <w:pStyle w:val="Fuentedeprrafopredeter"/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A3511">
      <w:pPr>
        <w:pStyle w:val="Fuentedeprrafopredeter"/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18"/>
          <w:szCs w:val="18"/>
        </w:rPr>
        <w:t>Toxicidad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Helvetica" w:hAnsi="Helvetica" w:cs="Helvetica"/>
          <w:b/>
          <w:bCs/>
          <w:sz w:val="18"/>
          <w:szCs w:val="18"/>
        </w:rPr>
        <w:t xml:space="preserve">: </w:t>
      </w:r>
      <w:r>
        <w:rPr>
          <w:rFonts w:ascii="Helvetica" w:hAnsi="Helvetica" w:cs="Helvetica"/>
          <w:sz w:val="18"/>
          <w:szCs w:val="18"/>
        </w:rPr>
        <w:t>Ligeramente Peligroso.</w:t>
      </w:r>
    </w:p>
    <w:p w:rsidR="00000000" w:rsidRDefault="009A3511">
      <w:pPr>
        <w:pStyle w:val="Fuentedeprrafopredeter"/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A3511">
      <w:pPr>
        <w:pStyle w:val="Fuentedeprrafopredeter"/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18"/>
          <w:szCs w:val="18"/>
        </w:rPr>
        <w:t>Grupo Químico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Helvetica" w:hAnsi="Helvetica" w:cs="Helvetica"/>
          <w:b/>
          <w:bCs/>
          <w:sz w:val="18"/>
          <w:szCs w:val="18"/>
        </w:rPr>
        <w:t xml:space="preserve">: </w:t>
      </w:r>
      <w:r>
        <w:rPr>
          <w:rFonts w:ascii="Helvetica" w:hAnsi="Helvetica" w:cs="Helvetica"/>
          <w:sz w:val="18"/>
          <w:szCs w:val="18"/>
        </w:rPr>
        <w:t>Inorgánicos.</w:t>
      </w:r>
    </w:p>
    <w:p w:rsidR="00000000" w:rsidRDefault="009A3511">
      <w:pPr>
        <w:pStyle w:val="Fuentedeprrafopredeter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A3511">
      <w:pPr>
        <w:pStyle w:val="Fuentedeprrafopredeter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A3511">
      <w:pPr>
        <w:pStyle w:val="Fuentedeprrafopredeter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A3511">
      <w:pPr>
        <w:pStyle w:val="Fuentedeprrafopredeter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A3511">
      <w:pPr>
        <w:pStyle w:val="Fuentedeprrafopredeter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A3511">
      <w:pPr>
        <w:pStyle w:val="Fuentedeprrafopredeter"/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A3511">
      <w:pPr>
        <w:pStyle w:val="Fuentedeprrafopredeter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18"/>
          <w:szCs w:val="18"/>
        </w:rPr>
        <w:t>PRINCIPALES CARACTERISTICAS</w:t>
      </w:r>
    </w:p>
    <w:p w:rsidR="00000000" w:rsidRDefault="009A3511">
      <w:pPr>
        <w:pStyle w:val="Fuentedeprrafopredeter"/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A3511">
      <w:pPr>
        <w:pStyle w:val="Fuentedeprrafopredeter"/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16"/>
          <w:szCs w:val="16"/>
        </w:rPr>
        <w:t>Fungicida acaricida inorgánico recomendado para el control de arañita roja en mandarina y oidium  en pimiento.</w:t>
      </w:r>
    </w:p>
    <w:p w:rsidR="00000000" w:rsidRDefault="009A3511">
      <w:pPr>
        <w:pStyle w:val="Fuentedeprrafopredeter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A3511">
      <w:pPr>
        <w:pStyle w:val="Fuentedeprrafopredeter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A3511">
      <w:pPr>
        <w:pStyle w:val="Fuentedeprrafopredeter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A3511">
      <w:pPr>
        <w:pStyle w:val="Fuentedeprrafopredeter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A3511">
      <w:pPr>
        <w:pStyle w:val="Fuentedeprrafopredeter"/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A3511">
      <w:pPr>
        <w:pStyle w:val="Fuentedeprrafopredeter"/>
        <w:widowControl w:val="0"/>
        <w:autoSpaceDE w:val="0"/>
        <w:autoSpaceDN w:val="0"/>
        <w:adjustRightInd w:val="0"/>
        <w:spacing w:after="0" w:line="239" w:lineRule="auto"/>
        <w:ind w:left="26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0"/>
          <w:szCs w:val="20"/>
        </w:rPr>
        <w:t>Indicaciones de Uso</w:t>
      </w:r>
    </w:p>
    <w:p w:rsidR="00000000" w:rsidRDefault="009A3511">
      <w:pPr>
        <w:pStyle w:val="Fuentedeprrafopredeter"/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A3511">
      <w:pPr>
        <w:pStyle w:val="Fuentedeprrafopredeter"/>
        <w:widowControl w:val="0"/>
        <w:overflowPunct w:val="0"/>
        <w:autoSpaceDE w:val="0"/>
        <w:autoSpaceDN w:val="0"/>
        <w:adjustRightInd w:val="0"/>
        <w:spacing w:after="0" w:line="239" w:lineRule="auto"/>
        <w:ind w:left="260" w:right="3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18"/>
          <w:szCs w:val="18"/>
        </w:rPr>
        <w:t>Se aplica en pulverizaciones, previa mezcla en agua, es recomendable preparar previamente una pre-</w:t>
      </w:r>
      <w:r>
        <w:rPr>
          <w:rFonts w:ascii="Helvetica" w:hAnsi="Helvetica" w:cs="Helvetica"/>
          <w:sz w:val="18"/>
          <w:szCs w:val="18"/>
        </w:rPr>
        <w:t>mezcla en un volumen reducido de agua, luego agregar el resto del agua hasta completar el volumen requerido.</w:t>
      </w:r>
    </w:p>
    <w:p w:rsidR="00000000" w:rsidRDefault="009A3511">
      <w:pPr>
        <w:pStyle w:val="Fuentedeprrafopredeter"/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A3511">
      <w:pPr>
        <w:pStyle w:val="Fuentedeprrafopredeter"/>
        <w:widowControl w:val="0"/>
        <w:overflowPunct w:val="0"/>
        <w:autoSpaceDE w:val="0"/>
        <w:autoSpaceDN w:val="0"/>
        <w:adjustRightInd w:val="0"/>
        <w:spacing w:after="0" w:line="223" w:lineRule="auto"/>
        <w:ind w:left="260" w:right="3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18"/>
          <w:szCs w:val="18"/>
        </w:rPr>
        <w:t>Es compatible con los principales plaguicidas con excepción de los aceites de petróleo.</w:t>
      </w:r>
    </w:p>
    <w:p w:rsidR="00000000" w:rsidRDefault="009A3511">
      <w:pPr>
        <w:pStyle w:val="Fuentedeprrafopredeter"/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A3511">
      <w:pPr>
        <w:pStyle w:val="Fuentedeprrafopredeter"/>
        <w:widowControl w:val="0"/>
        <w:overflowPunct w:val="0"/>
        <w:autoSpaceDE w:val="0"/>
        <w:autoSpaceDN w:val="0"/>
        <w:adjustRightInd w:val="0"/>
        <w:spacing w:after="0" w:line="232" w:lineRule="auto"/>
        <w:ind w:left="260" w:right="3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18"/>
          <w:szCs w:val="18"/>
        </w:rPr>
        <w:t>Tiene buena fitocompatibilidad con los cultivos recomenda</w:t>
      </w:r>
      <w:r>
        <w:rPr>
          <w:rFonts w:ascii="Helvetica" w:hAnsi="Helvetica" w:cs="Helvetica"/>
          <w:sz w:val="18"/>
          <w:szCs w:val="18"/>
        </w:rPr>
        <w:t>dos. Puede ser perjudicial si se aplica a temperaturas mayores de 30°C</w:t>
      </w:r>
    </w:p>
    <w:p w:rsidR="00000000" w:rsidRDefault="009A3511">
      <w:pPr>
        <w:pStyle w:val="Fuentedeprrafopredeter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A3511">
      <w:pPr>
        <w:pStyle w:val="Fuentedeprrafopredeter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A3511">
      <w:pPr>
        <w:pStyle w:val="Fuentedeprrafopredeter"/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A3511">
      <w:pPr>
        <w:pStyle w:val="Fuentedeprrafopredeter"/>
        <w:widowControl w:val="0"/>
        <w:autoSpaceDE w:val="0"/>
        <w:autoSpaceDN w:val="0"/>
        <w:adjustRightInd w:val="0"/>
        <w:spacing w:after="0" w:line="239" w:lineRule="auto"/>
        <w:ind w:left="26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0"/>
          <w:szCs w:val="20"/>
        </w:rPr>
        <w:t>Primeros Auxilios</w:t>
      </w:r>
    </w:p>
    <w:p w:rsidR="00000000" w:rsidRDefault="009A3511">
      <w:pPr>
        <w:pStyle w:val="Fuentedeprrafopredeter"/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A3511">
      <w:pPr>
        <w:pStyle w:val="Fuentedeprrafopredeter"/>
        <w:widowControl w:val="0"/>
        <w:overflowPunct w:val="0"/>
        <w:autoSpaceDE w:val="0"/>
        <w:autoSpaceDN w:val="0"/>
        <w:adjustRightInd w:val="0"/>
        <w:spacing w:after="0" w:line="241" w:lineRule="auto"/>
        <w:ind w:left="260" w:right="3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18"/>
          <w:szCs w:val="18"/>
        </w:rPr>
        <w:t xml:space="preserve">Si se ingiere, realizar un lavado estomacal con carbón medicinal en agua y laxantes salinos (Sulfato de sodio 20-30 gr). En caso </w:t>
      </w:r>
      <w:r>
        <w:rPr>
          <w:rFonts w:ascii="Helvetica" w:hAnsi="Helvetica" w:cs="Helvetica"/>
          <w:sz w:val="18"/>
          <w:szCs w:val="18"/>
        </w:rPr>
        <w:t>de deshidratación, administrar líquidos y sal. Si se presentan dificultades respiratorias, administrar oxigeno o dar respiración artificial.</w:t>
      </w:r>
    </w:p>
    <w:p w:rsidR="00000000" w:rsidRDefault="009A3511">
      <w:pPr>
        <w:pStyle w:val="Fuentedeprrafopredeter"/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A3511">
      <w:pPr>
        <w:pStyle w:val="Fuentedeprrafopredeter"/>
        <w:widowControl w:val="0"/>
        <w:overflowPunct w:val="0"/>
        <w:autoSpaceDE w:val="0"/>
        <w:autoSpaceDN w:val="0"/>
        <w:adjustRightInd w:val="0"/>
        <w:spacing w:after="0" w:line="223" w:lineRule="auto"/>
        <w:ind w:left="260" w:right="3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18"/>
          <w:szCs w:val="18"/>
        </w:rPr>
        <w:t xml:space="preserve">Indicaciones para el médico: </w:t>
      </w:r>
      <w:r>
        <w:rPr>
          <w:rFonts w:ascii="Helvetica" w:hAnsi="Helvetica" w:cs="Helvetica"/>
          <w:sz w:val="18"/>
          <w:szCs w:val="18"/>
        </w:rPr>
        <w:t>El médico instituirá un</w:t>
      </w:r>
      <w:r>
        <w:rPr>
          <w:rFonts w:ascii="Helvetica" w:hAnsi="Helvetica" w:cs="Helvetica"/>
          <w:b/>
          <w:bCs/>
          <w:sz w:val="18"/>
          <w:szCs w:val="18"/>
        </w:rPr>
        <w:t xml:space="preserve"> </w:t>
      </w:r>
      <w:r>
        <w:rPr>
          <w:rFonts w:ascii="Helvetica" w:hAnsi="Helvetica" w:cs="Helvetica"/>
          <w:sz w:val="18"/>
          <w:szCs w:val="18"/>
        </w:rPr>
        <w:t>tratamiento sintomático</w:t>
      </w:r>
    </w:p>
    <w:p w:rsidR="00000000" w:rsidRDefault="009A3511">
      <w:pPr>
        <w:pStyle w:val="Fuentedeprrafopredeter"/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A3511">
      <w:pPr>
        <w:pStyle w:val="Fuentedeprrafopredeter"/>
        <w:widowControl w:val="0"/>
        <w:overflowPunct w:val="0"/>
        <w:autoSpaceDE w:val="0"/>
        <w:autoSpaceDN w:val="0"/>
        <w:adjustRightInd w:val="0"/>
        <w:spacing w:after="0" w:line="223" w:lineRule="auto"/>
        <w:ind w:left="260" w:right="3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18"/>
          <w:szCs w:val="18"/>
        </w:rPr>
        <w:t xml:space="preserve">Antídoto: </w:t>
      </w:r>
      <w:r>
        <w:rPr>
          <w:rFonts w:ascii="Helvetica" w:hAnsi="Helvetica" w:cs="Helvetica"/>
          <w:sz w:val="18"/>
          <w:szCs w:val="18"/>
        </w:rPr>
        <w:t>No se ha determinado un an</w:t>
      </w:r>
      <w:r>
        <w:rPr>
          <w:rFonts w:ascii="Helvetica" w:hAnsi="Helvetica" w:cs="Helvetica"/>
          <w:sz w:val="18"/>
          <w:szCs w:val="18"/>
        </w:rPr>
        <w:t>tídoto</w:t>
      </w:r>
      <w:r>
        <w:rPr>
          <w:rFonts w:ascii="Helvetica" w:hAnsi="Helvetica" w:cs="Helvetica"/>
          <w:b/>
          <w:bCs/>
          <w:sz w:val="18"/>
          <w:szCs w:val="18"/>
        </w:rPr>
        <w:t xml:space="preserve"> </w:t>
      </w:r>
      <w:r>
        <w:rPr>
          <w:rFonts w:ascii="Helvetica" w:hAnsi="Helvetica" w:cs="Helvetica"/>
          <w:sz w:val="18"/>
          <w:szCs w:val="18"/>
        </w:rPr>
        <w:t>específico</w:t>
      </w:r>
    </w:p>
    <w:p w:rsidR="00000000" w:rsidRDefault="009A3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0800" w:h="14400"/>
          <w:pgMar w:top="573" w:right="1920" w:bottom="952" w:left="400" w:header="720" w:footer="720" w:gutter="0"/>
          <w:cols w:space="720" w:equalWidth="0">
            <w:col w:w="8480"/>
          </w:cols>
          <w:noEndnote/>
        </w:sectPr>
      </w:pPr>
    </w:p>
    <w:p w:rsidR="00000000" w:rsidRDefault="00FC04E5">
      <w:pPr>
        <w:pStyle w:val="Fuentedeprrafopredeter"/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bookmarkStart w:id="2" w:name="page2"/>
      <w:bookmarkEnd w:id="2"/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40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511">
        <w:rPr>
          <w:rFonts w:ascii="Helvetica" w:hAnsi="Helvetica" w:cs="Helvetica"/>
          <w:b/>
          <w:bCs/>
          <w:color w:val="FFFFFF"/>
          <w:sz w:val="40"/>
          <w:szCs w:val="40"/>
        </w:rPr>
        <w:t xml:space="preserve">Sulfodin </w:t>
      </w:r>
      <w:r w:rsidR="009A3511">
        <w:rPr>
          <w:rFonts w:ascii="Arial" w:hAnsi="Arial" w:cs="Arial"/>
          <w:b/>
          <w:bCs/>
          <w:color w:val="FFFFFF"/>
          <w:sz w:val="40"/>
          <w:szCs w:val="40"/>
          <w:vertAlign w:val="superscript"/>
        </w:rPr>
        <w:t>®</w:t>
      </w:r>
      <w:r w:rsidR="009A3511">
        <w:rPr>
          <w:rFonts w:ascii="Helvetica" w:hAnsi="Helvetica" w:cs="Helvetica"/>
          <w:b/>
          <w:bCs/>
          <w:color w:val="FFFFFF"/>
          <w:sz w:val="40"/>
          <w:szCs w:val="40"/>
        </w:rPr>
        <w:t xml:space="preserve"> 80% </w:t>
      </w:r>
      <w:r w:rsidR="009A3511">
        <w:rPr>
          <w:rFonts w:ascii="Helvetica" w:hAnsi="Helvetica" w:cs="Helvetica"/>
          <w:b/>
          <w:bCs/>
          <w:color w:val="FFFFFF"/>
          <w:sz w:val="36"/>
          <w:szCs w:val="36"/>
        </w:rPr>
        <w:t>WG</w:t>
      </w:r>
    </w:p>
    <w:p w:rsidR="00000000" w:rsidRDefault="009A3511">
      <w:pPr>
        <w:pStyle w:val="Fuentedeprrafopredeter"/>
        <w:widowControl w:val="0"/>
        <w:autoSpaceDE w:val="0"/>
        <w:autoSpaceDN w:val="0"/>
        <w:adjustRightInd w:val="0"/>
        <w:spacing w:after="0" w:line="237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FFFFFF"/>
          <w:sz w:val="20"/>
          <w:szCs w:val="20"/>
        </w:rPr>
        <w:t>Azufre</w:t>
      </w:r>
    </w:p>
    <w:p w:rsidR="00000000" w:rsidRDefault="009A3511">
      <w:pPr>
        <w:pStyle w:val="Fuentedeprrafopredeter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A3511">
      <w:pPr>
        <w:pStyle w:val="Fuentedeprrafopredeter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A3511">
      <w:pPr>
        <w:pStyle w:val="Fuentedeprrafopredeter"/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A3511">
      <w:pPr>
        <w:pStyle w:val="Fuentedeprrafopredeter"/>
        <w:widowControl w:val="0"/>
        <w:autoSpaceDE w:val="0"/>
        <w:autoSpaceDN w:val="0"/>
        <w:adjustRightInd w:val="0"/>
        <w:spacing w:after="0" w:line="239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0"/>
          <w:szCs w:val="20"/>
        </w:rPr>
        <w:t>Recomendaciones de Uso</w:t>
      </w:r>
    </w:p>
    <w:p w:rsidR="00000000" w:rsidRDefault="009A3511">
      <w:pPr>
        <w:pStyle w:val="Fuentedeprrafopredeter"/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1280"/>
        <w:gridCol w:w="1680"/>
        <w:gridCol w:w="640"/>
        <w:gridCol w:w="2280"/>
        <w:gridCol w:w="900"/>
        <w:gridCol w:w="880"/>
        <w:gridCol w:w="860"/>
        <w:gridCol w:w="920"/>
        <w:gridCol w:w="820"/>
        <w:gridCol w:w="4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06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ENFERMEDAD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06" w:lineRule="exact"/>
              <w:ind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w w:val="99"/>
                <w:sz w:val="18"/>
                <w:szCs w:val="18"/>
              </w:rPr>
              <w:t>DOSIS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06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PC*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LMR**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06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CULTIVOS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(días)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(ppm)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NOMBRE COMUN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AGENTE CAUSAL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right="2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kg/ha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kg/cil</w:t>
            </w: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Mandarina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Arañita roja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iCs/>
                <w:sz w:val="16"/>
                <w:szCs w:val="16"/>
              </w:rPr>
              <w:t>Panonychus citri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0.25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w w:val="98"/>
                <w:sz w:val="16"/>
                <w:szCs w:val="16"/>
              </w:rPr>
              <w:t>0.5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right="5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50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Pimiento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Oidium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iCs/>
                <w:sz w:val="16"/>
                <w:szCs w:val="16"/>
              </w:rPr>
              <w:t>Leveillula taurica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w w:val="98"/>
                <w:sz w:val="16"/>
                <w:szCs w:val="16"/>
              </w:rPr>
              <w:t>1.5-2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0.375-0.5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0.75-1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right="5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50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Vid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Oidium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iCs/>
                <w:sz w:val="16"/>
                <w:szCs w:val="16"/>
              </w:rPr>
              <w:t>Erysiphe necator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0.5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N.R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Palto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Arañita marrón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iCs/>
                <w:sz w:val="16"/>
                <w:szCs w:val="16"/>
              </w:rPr>
              <w:t>Oligonychus punicae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right="5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N.R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*PC = Periodo de carencia (días)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**LMR = Límite Máximo de Residuos (ppm)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Envases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Helvetica" w:hAnsi="Helvetica" w:cs="Helvetica"/>
                <w:sz w:val="18"/>
                <w:szCs w:val="18"/>
              </w:rPr>
              <w:t>Caja x 1 kg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Envases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Helvetica" w:hAnsi="Helvetica" w:cs="Helvetica"/>
                <w:sz w:val="18"/>
                <w:szCs w:val="18"/>
              </w:rPr>
              <w:t>Caja x 1 kg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Numero de Registro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Helvetica" w:hAnsi="Helvetica" w:cs="Helvetica"/>
                <w:sz w:val="18"/>
                <w:szCs w:val="18"/>
              </w:rPr>
              <w:t>PQUA Nª 043-SENASA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Numero de Registro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Helvetica" w:hAnsi="Helvetica" w:cs="Helvetica"/>
                <w:sz w:val="18"/>
                <w:szCs w:val="18"/>
              </w:rPr>
              <w:t>PQUA Nª 043-SENASA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3511">
            <w:pPr>
              <w:pStyle w:val="Fuentedeprrafopredeter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9A3511" w:rsidRDefault="009A3511">
      <w:pPr>
        <w:pStyle w:val="Fuentedeprrafopredeter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sectPr w:rsidR="009A3511">
      <w:pgSz w:w="10800" w:h="14400"/>
      <w:pgMar w:top="573" w:right="240" w:bottom="1440" w:left="220" w:header="720" w:footer="720" w:gutter="0"/>
      <w:cols w:space="720" w:equalWidth="0">
        <w:col w:w="103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E5"/>
    <w:rsid w:val="009A3511"/>
    <w:rsid w:val="00FC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9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PolicyDirtyBag xmlns="microsoft.office.server.policy.changes">
  <Microsoft.Office.RecordsManagement.PolicyFeatures.Expiration op="Change"/>
</PolicyDirtyBag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4d292e-883c-434b-96e3-060cfff16c86"/>
    <_dlc_ExpireDateSaved xmlns="http://schemas.microsoft.com/sharepoint/v3" xsi:nil="true"/>
    <_dlc_ExpireDate xmlns="http://schemas.microsoft.com/sharepoint/v3" xsi:nil="true"/>
    <_dlc_Exempt xmlns="http://schemas.microsoft.com/sharepoint/v3">false</_dlc_Exemp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3CEBB49310D49978FC36E0E0B5F94" ma:contentTypeVersion="15" ma:contentTypeDescription="Create a new document." ma:contentTypeScope="" ma:versionID="c2bcb158680338d1f46ca7483f996bb2">
  <xsd:schema xmlns:xsd="http://www.w3.org/2001/XMLSchema" xmlns:xs="http://www.w3.org/2001/XMLSchema" xmlns:p="http://schemas.microsoft.com/office/2006/metadata/properties" xmlns:ns1="http://schemas.microsoft.com/sharepoint/v3" xmlns:ns2="1a4d292e-883c-434b-96e3-060cfff16c86" xmlns:ns3="fb270c27-1e5a-441e-818d-83197c376e14" targetNamespace="http://schemas.microsoft.com/office/2006/metadata/properties" ma:root="true" ma:fieldsID="89ef11220adca418d5120a1f4d3252ea" ns1:_="" ns2:_="" ns3:_="">
    <xsd:import namespace="http://schemas.microsoft.com/sharepoint/v3"/>
    <xsd:import namespace="1a4d292e-883c-434b-96e3-060cfff16c86"/>
    <xsd:import namespace="fb270c27-1e5a-441e-818d-83197c376e1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Exempt from Policy" ma:hidden="true" ma:internalName="_dlc_Exempt" ma:readOnly="false">
      <xsd:simpleType>
        <xsd:restriction base="dms:Unknown"/>
      </xsd:simpleType>
    </xsd:element>
    <xsd:element name="_dlc_ExpireDateSaved" ma:index="11" nillable="true" ma:displayName="Original Expiration Date" ma:hidden="true" ma:internalName="_dlc_ExpireDateSaved" ma:readOnly="false">
      <xsd:simpleType>
        <xsd:restriction base="dms:DateTime"/>
      </xsd:simpleType>
    </xsd:element>
    <xsd:element name="_dlc_ExpireDate" ma:index="12" nillable="true" ma:displayName="Expiration Date" ma:hidden="true" ma:internalName="_dlc_Expir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d292e-883c-434b-96e3-060cfff16c8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e358d6d-7378-497b-bff2-520055c95326}" ma:internalName="TaxCatchAll" ma:showField="CatchAllData" ma:web="e1ec1b3a-6340-4601-bb60-5fb2906586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be358d6d-7378-497b-bff2-520055c95326}" ma:internalName="TaxCatchAllLabel" ma:readOnly="true" ma:showField="CatchAllDataLabel" ma:web="e1ec1b3a-6340-4601-bb60-5fb2906586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70c27-1e5a-441e-818d-83197c376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|-2126682137" UniqueId="ab3b55e9-aae5-4563-b264-599d7d4a4f7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Bayer SharePoint Retention Policy 2.1"/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0220602465A40A3B1B8D935B6E5E6" ma:contentTypeVersion="52" ma:contentTypeDescription="Create a new document." ma:contentTypeScope="" ma:versionID="f77cbd3e02ac545dc1f49f17e2f2d353">
  <xsd:schema xmlns:xsd="http://www.w3.org/2001/XMLSchema" xmlns:xs="http://www.w3.org/2001/XMLSchema" xmlns:p="http://schemas.microsoft.com/office/2006/metadata/properties" xmlns:ns1="http://schemas.microsoft.com/sharepoint/v3" xmlns:ns2="e941b624-166c-4987-9ed6-d539972f16a8" xmlns:ns3="379ebca1-708e-4dea-9d66-87fe2990835c" targetNamespace="http://schemas.microsoft.com/office/2006/metadata/properties" ma:root="true" ma:fieldsID="e17453eb28d4c09b45c78f51e6828f38" ns1:_="" ns2:_="" ns3:_="">
    <xsd:import namespace="http://schemas.microsoft.com/sharepoint/v3"/>
    <xsd:import namespace="e941b624-166c-4987-9ed6-d539972f16a8"/>
    <xsd:import namespace="379ebca1-708e-4dea-9d66-87fe2990835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gbbd9102adcd43839cd73b51972a464c" minOccurs="0"/>
                <xsd:element ref="ns1:_dlc_Exempt" minOccurs="0"/>
                <xsd:element ref="ns1:_dlc_ExpireDateSaved" minOccurs="0"/>
                <xsd:element ref="ns1:_dlc_Expire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2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3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4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1b624-166c-4987-9ed6-d539972f16a8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9024b45-58c8-4255-bc34-c9a2775a0c4b}" ma:internalName="TaxCatchAll" ma:showField="CatchAllData" ma:web="379ebca1-708e-4dea-9d66-87fe29908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9024b45-58c8-4255-bc34-c9a2775a0c4b}" ma:internalName="TaxCatchAllLabel" ma:readOnly="true" ma:showField="CatchAllDataLabel" ma:web="379ebca1-708e-4dea-9d66-87fe29908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bbd9102adcd43839cd73b51972a464c" ma:index="10" ma:taxonomy="true" ma:internalName="gbbd9102adcd43839cd73b51972a464c" ma:taxonomyFieldName="DataClassBayerRetention" ma:displayName="Data Class" ma:readOnly="false" ma:default="1;#Short-Term|6d967203-8346-4b9c-90f8-b3828a3fa508" ma:fieldId="{0bbd9102-adcd-4383-9cd7-3b51972a464c}" ma:sspId="7c593367-9bb5-4764-945e-f6a26d2260c4" ma:termSetId="a305235b-fecf-45b3-8300-71c0f432cbc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ebca1-708e-4dea-9d66-87fe2990835c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9.xml><?xml version="1.0" encoding="utf-8"?>
<?mso-contentType ?>
<SharedContentType xmlns="Microsoft.SharePoint.Taxonomy.ContentTypeSync" SourceId="7bc43322-b630-4bac-8b27-31def233d1d0" ContentTypeId="0x0101" PreviousValue="false"/>
</file>

<file path=customXml/itemProps1.xml><?xml version="1.0" encoding="utf-8"?>
<ds:datastoreItem xmlns:ds="http://schemas.openxmlformats.org/officeDocument/2006/customXml" ds:itemID="{890F0C50-517D-4634-BD07-062ED844ED8D}"/>
</file>

<file path=customXml/itemProps2.xml><?xml version="1.0" encoding="utf-8"?>
<ds:datastoreItem xmlns:ds="http://schemas.openxmlformats.org/officeDocument/2006/customXml" ds:itemID="{760CEA4C-93D8-471F-A22A-80BF854F81E1}"/>
</file>

<file path=customXml/itemProps3.xml><?xml version="1.0" encoding="utf-8"?>
<ds:datastoreItem xmlns:ds="http://schemas.openxmlformats.org/officeDocument/2006/customXml" ds:itemID="{015329AE-3D58-4A46-AA28-724A9F3EF33F}"/>
</file>

<file path=customXml/itemProps4.xml><?xml version="1.0" encoding="utf-8"?>
<ds:datastoreItem xmlns:ds="http://schemas.openxmlformats.org/officeDocument/2006/customXml" ds:itemID="{998809DE-6E9A-4B9E-90E0-960A1831D89D}"/>
</file>

<file path=customXml/itemProps5.xml><?xml version="1.0" encoding="utf-8"?>
<ds:datastoreItem xmlns:ds="http://schemas.openxmlformats.org/officeDocument/2006/customXml" ds:itemID="{760CEA4C-93D8-471F-A22A-80BF854F81E1}"/>
</file>

<file path=customXml/itemProps6.xml><?xml version="1.0" encoding="utf-8"?>
<ds:datastoreItem xmlns:ds="http://schemas.openxmlformats.org/officeDocument/2006/customXml" ds:itemID="{C429FEEA-F0BD-42D5-9F11-AB7AD29DDA14}"/>
</file>

<file path=customXml/itemProps7.xml><?xml version="1.0" encoding="utf-8"?>
<ds:datastoreItem xmlns:ds="http://schemas.openxmlformats.org/officeDocument/2006/customXml" ds:itemID="{86E14ABA-1CC6-42D1-A815-6F57CCFB177E}"/>
</file>

<file path=customXml/itemProps8.xml><?xml version="1.0" encoding="utf-8"?>
<ds:datastoreItem xmlns:ds="http://schemas.openxmlformats.org/officeDocument/2006/customXml" ds:itemID="{0F444F55-3B56-4AC2-B0AB-DEBFAE8AD485}"/>
</file>

<file path=customXml/itemProps9.xml><?xml version="1.0" encoding="utf-8"?>
<ds:datastoreItem xmlns:ds="http://schemas.openxmlformats.org/officeDocument/2006/customXml" ds:itemID="{93513FDF-A73A-43E5-9D5B-1888A752BF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Bayer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Arturo Diaz</dc:creator>
  <cp:lastModifiedBy>Arturo Diaz</cp:lastModifiedBy>
  <cp:revision>2</cp:revision>
  <dcterms:created xsi:type="dcterms:W3CDTF">2015-01-26T14:40:00Z</dcterms:created>
  <dcterms:modified xsi:type="dcterms:W3CDTF">2015-01-26T14:40:00Z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0x0101000DA3CEBB49310D49978FC36E0E0B5F94</vt:lpwstr>
  </property>
  <property fmtid="{D5CDD505-2E9C-101B-9397-08002B2CF9AE}" pid="3" name="ItemRetentionFormula">
    <vt:lpwstr>&lt;formula id="Bayer SharePoint Retention Policy 2.1" /&gt;</vt:lpwstr>
  </property>
  <property fmtid="{D5CDD505-2E9C-101B-9397-08002B2CF9AE}" pid="4" name="_dlc_policyId">
    <vt:lpwstr>0x0101|-2126682137</vt:lpwstr>
  </property>
  <property fmtid="{D5CDD505-2E9C-101B-9397-08002B2CF9AE}" pid="5" name="DataClassBayerRetention">
    <vt:lpwstr>1;#Short-Term|6d967203-8346-4b9c-90f8-b3828a3fa508</vt:lpwstr>
  </property>
  <property fmtid="{D5CDD505-2E9C-101B-9397-08002B2CF9AE}" pid="6" name="Order">
    <vt:r8>24300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ComplianceAssetId">
    <vt:lpwstr/>
  </property>
</Properties>
</file>